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B378A" w14:textId="51AF1D11" w:rsidR="007A04E2" w:rsidRDefault="007A04E2" w:rsidP="00AD418F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Additional material </w:t>
      </w:r>
      <w:r w:rsidR="00CC4774">
        <w:rPr>
          <w:rFonts w:ascii="Times New Roman" w:hAnsi="Times New Roman"/>
          <w:sz w:val="24"/>
          <w:szCs w:val="24"/>
          <w:lang w:val="en-US"/>
        </w:rPr>
        <w:t>3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en-US"/>
        </w:rPr>
        <w:t>.</w:t>
      </w:r>
    </w:p>
    <w:p w14:paraId="338057A6" w14:textId="062F3712" w:rsidR="008B2F66" w:rsidRPr="003D5839" w:rsidRDefault="008B2F66" w:rsidP="008B2F66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E965CF">
        <w:rPr>
          <w:rFonts w:ascii="Times New Roman" w:hAnsi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/>
          <w:sz w:val="24"/>
          <w:szCs w:val="24"/>
          <w:lang w:val="en-US"/>
        </w:rPr>
        <w:t>S2</w:t>
      </w:r>
      <w:r w:rsidRPr="00E965CF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3D5839">
        <w:rPr>
          <w:rFonts w:ascii="Times New Roman" w:hAnsi="Times New Roman"/>
          <w:sz w:val="24"/>
          <w:szCs w:val="24"/>
          <w:lang w:val="en-US"/>
        </w:rPr>
        <w:t>Adjusted</w:t>
      </w:r>
      <w:r w:rsidRPr="00FC386C">
        <w:rPr>
          <w:rFonts w:ascii="Times New Roman" w:hAnsi="Times New Roman"/>
          <w:sz w:val="24"/>
          <w:szCs w:val="24"/>
          <w:lang w:val="en-US"/>
        </w:rPr>
        <w:t>*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 ordinal logistic regres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3D5839"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  <w:lang w:val="en-US"/>
        </w:rPr>
        <w:t>o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n model of </w:t>
      </w:r>
      <w:r>
        <w:rPr>
          <w:rFonts w:ascii="Times New Roman" w:hAnsi="Times New Roman"/>
          <w:sz w:val="24"/>
          <w:szCs w:val="24"/>
          <w:lang w:val="en-US"/>
        </w:rPr>
        <w:t>adherence to a M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editerranean diet </w:t>
      </w:r>
      <w:r>
        <w:rPr>
          <w:rFonts w:ascii="Times New Roman" w:hAnsi="Times New Roman"/>
          <w:sz w:val="24"/>
          <w:szCs w:val="24"/>
          <w:lang w:val="en-US"/>
        </w:rPr>
        <w:t xml:space="preserve">on NIHSS admission </w:t>
      </w:r>
      <w:r w:rsidRPr="003D5839">
        <w:rPr>
          <w:rFonts w:ascii="Times New Roman" w:hAnsi="Times New Roman"/>
          <w:sz w:val="24"/>
          <w:szCs w:val="24"/>
          <w:lang w:val="en-US"/>
        </w:rPr>
        <w:t>quartiles</w:t>
      </w:r>
      <w:r w:rsidRPr="00FC386C">
        <w:rPr>
          <w:rFonts w:ascii="Times New Roman" w:hAnsi="Times New Roman"/>
          <w:sz w:val="24"/>
          <w:szCs w:val="24"/>
          <w:lang w:val="en-US"/>
        </w:rPr>
        <w:t>†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6"/>
        <w:gridCol w:w="1769"/>
        <w:gridCol w:w="1695"/>
        <w:gridCol w:w="1695"/>
        <w:gridCol w:w="1589"/>
      </w:tblGrid>
      <w:tr w:rsidR="008B2F66" w:rsidRPr="00FC386C" w14:paraId="59FAF4FD" w14:textId="77777777" w:rsidTr="00FE6BC5">
        <w:tc>
          <w:tcPr>
            <w:tcW w:w="1746" w:type="dxa"/>
          </w:tcPr>
          <w:p w14:paraId="5DAF391E" w14:textId="77777777" w:rsidR="008B2F66" w:rsidRPr="00FC386C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1769" w:type="dxa"/>
          </w:tcPr>
          <w:p w14:paraId="262F2E7C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Odds Ratio</w:t>
            </w:r>
          </w:p>
        </w:tc>
        <w:tc>
          <w:tcPr>
            <w:tcW w:w="3390" w:type="dxa"/>
            <w:gridSpan w:val="2"/>
          </w:tcPr>
          <w:p w14:paraId="7B1704D0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95% Confidence interval</w:t>
            </w:r>
          </w:p>
        </w:tc>
        <w:tc>
          <w:tcPr>
            <w:tcW w:w="1589" w:type="dxa"/>
          </w:tcPr>
          <w:p w14:paraId="3D20A17D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 </w:t>
            </w:r>
          </w:p>
          <w:p w14:paraId="27E0110D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value</w:t>
            </w:r>
          </w:p>
        </w:tc>
      </w:tr>
      <w:tr w:rsidR="008B2F66" w:rsidRPr="00FC386C" w14:paraId="776B162E" w14:textId="77777777" w:rsidTr="00FE6BC5">
        <w:tc>
          <w:tcPr>
            <w:tcW w:w="1746" w:type="dxa"/>
          </w:tcPr>
          <w:p w14:paraId="0B9582E0" w14:textId="77777777" w:rsidR="008B2F66" w:rsidRPr="00FC386C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High adherence to Mediterranean diet</w:t>
            </w: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‡</w:t>
            </w:r>
          </w:p>
        </w:tc>
        <w:tc>
          <w:tcPr>
            <w:tcW w:w="1769" w:type="dxa"/>
          </w:tcPr>
          <w:p w14:paraId="01CA939C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471DD">
              <w:rPr>
                <w:rFonts w:ascii="Times New Roman" w:hAnsi="Times New Roman"/>
                <w:sz w:val="24"/>
                <w:szCs w:val="24"/>
                <w:lang w:val="en-US"/>
              </w:rPr>
              <w:t>.8945</w:t>
            </w:r>
          </w:p>
        </w:tc>
        <w:tc>
          <w:tcPr>
            <w:tcW w:w="1695" w:type="dxa"/>
          </w:tcPr>
          <w:p w14:paraId="538D7F0B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471DD">
              <w:rPr>
                <w:rFonts w:ascii="Times New Roman" w:hAnsi="Times New Roman"/>
                <w:sz w:val="24"/>
                <w:szCs w:val="24"/>
                <w:lang w:val="en-US"/>
              </w:rPr>
              <w:t>.8205</w:t>
            </w:r>
          </w:p>
        </w:tc>
        <w:tc>
          <w:tcPr>
            <w:tcW w:w="1695" w:type="dxa"/>
          </w:tcPr>
          <w:p w14:paraId="764FABC0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471DD">
              <w:rPr>
                <w:rFonts w:ascii="Times New Roman" w:hAnsi="Times New Roman"/>
                <w:sz w:val="24"/>
                <w:szCs w:val="24"/>
                <w:lang w:val="en-US"/>
              </w:rPr>
              <w:t>.9751</w:t>
            </w:r>
          </w:p>
        </w:tc>
        <w:tc>
          <w:tcPr>
            <w:tcW w:w="1589" w:type="dxa"/>
          </w:tcPr>
          <w:p w14:paraId="697CE506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471DD">
              <w:rPr>
                <w:rFonts w:ascii="Times New Roman" w:hAnsi="Times New Roman"/>
                <w:sz w:val="24"/>
                <w:szCs w:val="24"/>
                <w:lang w:val="en-US"/>
              </w:rPr>
              <w:t>0.011</w:t>
            </w:r>
          </w:p>
        </w:tc>
      </w:tr>
      <w:tr w:rsidR="008B2F66" w:rsidRPr="00DC47C9" w14:paraId="722A7D07" w14:textId="77777777" w:rsidTr="00FE6BC5">
        <w:tc>
          <w:tcPr>
            <w:tcW w:w="1746" w:type="dxa"/>
          </w:tcPr>
          <w:p w14:paraId="623EDE57" w14:textId="77777777" w:rsidR="008B2F66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Longer time from symptom onset to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admission</w:t>
            </w:r>
          </w:p>
        </w:tc>
        <w:tc>
          <w:tcPr>
            <w:tcW w:w="1769" w:type="dxa"/>
          </w:tcPr>
          <w:p w14:paraId="20E4A4B8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.9999</w:t>
            </w:r>
          </w:p>
        </w:tc>
        <w:tc>
          <w:tcPr>
            <w:tcW w:w="1695" w:type="dxa"/>
          </w:tcPr>
          <w:p w14:paraId="7E8FFD02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.9998</w:t>
            </w:r>
          </w:p>
        </w:tc>
        <w:tc>
          <w:tcPr>
            <w:tcW w:w="1695" w:type="dxa"/>
          </w:tcPr>
          <w:p w14:paraId="74EA3195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.9999</w:t>
            </w:r>
          </w:p>
        </w:tc>
        <w:tc>
          <w:tcPr>
            <w:tcW w:w="1589" w:type="dxa"/>
          </w:tcPr>
          <w:p w14:paraId="577D04B5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0.022</w:t>
            </w:r>
          </w:p>
        </w:tc>
      </w:tr>
      <w:tr w:rsidR="008B2F66" w:rsidRPr="00DC47C9" w14:paraId="65ADDBE8" w14:textId="77777777" w:rsidTr="00FE6BC5">
        <w:tc>
          <w:tcPr>
            <w:tcW w:w="1746" w:type="dxa"/>
          </w:tcPr>
          <w:p w14:paraId="630B573F" w14:textId="77777777" w:rsidR="008B2F66" w:rsidRPr="00FC386C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Atrial fibrillation</w:t>
            </w:r>
          </w:p>
        </w:tc>
        <w:tc>
          <w:tcPr>
            <w:tcW w:w="1769" w:type="dxa"/>
          </w:tcPr>
          <w:p w14:paraId="451F06B2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2.0914</w:t>
            </w:r>
          </w:p>
        </w:tc>
        <w:tc>
          <w:tcPr>
            <w:tcW w:w="1695" w:type="dxa"/>
          </w:tcPr>
          <w:p w14:paraId="5250A957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1.1603</w:t>
            </w:r>
          </w:p>
        </w:tc>
        <w:tc>
          <w:tcPr>
            <w:tcW w:w="1695" w:type="dxa"/>
          </w:tcPr>
          <w:p w14:paraId="7B7D3DCD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3.7695</w:t>
            </w:r>
          </w:p>
        </w:tc>
        <w:tc>
          <w:tcPr>
            <w:tcW w:w="1589" w:type="dxa"/>
          </w:tcPr>
          <w:p w14:paraId="0EB8E174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0.014</w:t>
            </w:r>
          </w:p>
        </w:tc>
      </w:tr>
      <w:tr w:rsidR="008B2F66" w:rsidRPr="00DC47C9" w14:paraId="47100CD4" w14:textId="77777777" w:rsidTr="00FE6BC5">
        <w:tc>
          <w:tcPr>
            <w:tcW w:w="1746" w:type="dxa"/>
          </w:tcPr>
          <w:p w14:paraId="59DA3908" w14:textId="77777777" w:rsidR="008B2F66" w:rsidRPr="00FC386C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Previous dependency</w:t>
            </w: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‡</w:t>
            </w:r>
          </w:p>
        </w:tc>
        <w:tc>
          <w:tcPr>
            <w:tcW w:w="1769" w:type="dxa"/>
          </w:tcPr>
          <w:p w14:paraId="23CADB5F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4.0359</w:t>
            </w:r>
          </w:p>
        </w:tc>
        <w:tc>
          <w:tcPr>
            <w:tcW w:w="1695" w:type="dxa"/>
          </w:tcPr>
          <w:p w14:paraId="384EA1D4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1.8098</w:t>
            </w:r>
          </w:p>
        </w:tc>
        <w:tc>
          <w:tcPr>
            <w:tcW w:w="1695" w:type="dxa"/>
          </w:tcPr>
          <w:p w14:paraId="3BA32572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9.000</w:t>
            </w:r>
          </w:p>
        </w:tc>
        <w:tc>
          <w:tcPr>
            <w:tcW w:w="1589" w:type="dxa"/>
          </w:tcPr>
          <w:p w14:paraId="7CE061AC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0.001</w:t>
            </w:r>
          </w:p>
        </w:tc>
      </w:tr>
      <w:tr w:rsidR="008B2F66" w:rsidRPr="00DC47C9" w14:paraId="3A1C3A2F" w14:textId="77777777" w:rsidTr="00FE6BC5">
        <w:tc>
          <w:tcPr>
            <w:tcW w:w="1746" w:type="dxa"/>
          </w:tcPr>
          <w:p w14:paraId="4DC8F8E8" w14:textId="77777777" w:rsidR="008B2F66" w:rsidRPr="00FC386C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Admission Glycemia</w:t>
            </w:r>
          </w:p>
        </w:tc>
        <w:tc>
          <w:tcPr>
            <w:tcW w:w="1769" w:type="dxa"/>
          </w:tcPr>
          <w:p w14:paraId="3201B898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1.0047</w:t>
            </w:r>
          </w:p>
        </w:tc>
        <w:tc>
          <w:tcPr>
            <w:tcW w:w="1695" w:type="dxa"/>
          </w:tcPr>
          <w:p w14:paraId="071370AB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1.0001</w:t>
            </w:r>
          </w:p>
        </w:tc>
        <w:tc>
          <w:tcPr>
            <w:tcW w:w="1695" w:type="dxa"/>
          </w:tcPr>
          <w:p w14:paraId="0FD6149C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1.0094</w:t>
            </w:r>
          </w:p>
        </w:tc>
        <w:tc>
          <w:tcPr>
            <w:tcW w:w="1589" w:type="dxa"/>
          </w:tcPr>
          <w:p w14:paraId="22E158E6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0.045</w:t>
            </w:r>
          </w:p>
        </w:tc>
      </w:tr>
      <w:tr w:rsidR="008B2F66" w:rsidRPr="00DC47C9" w14:paraId="583CE3C1" w14:textId="77777777" w:rsidTr="00FE6BC5">
        <w:tc>
          <w:tcPr>
            <w:tcW w:w="1746" w:type="dxa"/>
          </w:tcPr>
          <w:p w14:paraId="67F0F39D" w14:textId="77777777" w:rsidR="008B2F66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Vessel occlusion</w:t>
            </w:r>
          </w:p>
        </w:tc>
        <w:tc>
          <w:tcPr>
            <w:tcW w:w="1769" w:type="dxa"/>
          </w:tcPr>
          <w:p w14:paraId="21BEC65F" w14:textId="77777777" w:rsidR="008B2F66" w:rsidRPr="00DC47C9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6.4518</w:t>
            </w:r>
          </w:p>
        </w:tc>
        <w:tc>
          <w:tcPr>
            <w:tcW w:w="1695" w:type="dxa"/>
          </w:tcPr>
          <w:p w14:paraId="2ECCF96A" w14:textId="77777777" w:rsidR="008B2F66" w:rsidRPr="00DC47C9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6027F">
              <w:rPr>
                <w:rFonts w:ascii="Times New Roman" w:hAnsi="Times New Roman"/>
                <w:sz w:val="24"/>
                <w:szCs w:val="24"/>
                <w:lang w:val="en-US"/>
              </w:rPr>
              <w:t>3.9436</w:t>
            </w:r>
          </w:p>
        </w:tc>
        <w:tc>
          <w:tcPr>
            <w:tcW w:w="1695" w:type="dxa"/>
          </w:tcPr>
          <w:p w14:paraId="08891541" w14:textId="77777777" w:rsidR="008B2F66" w:rsidRPr="00DC47C9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6027F">
              <w:rPr>
                <w:rFonts w:ascii="Times New Roman" w:hAnsi="Times New Roman"/>
                <w:sz w:val="24"/>
                <w:szCs w:val="24"/>
                <w:lang w:val="en-US"/>
              </w:rPr>
              <w:t>10.5551</w:t>
            </w:r>
          </w:p>
        </w:tc>
        <w:tc>
          <w:tcPr>
            <w:tcW w:w="1589" w:type="dxa"/>
          </w:tcPr>
          <w:p w14:paraId="0E010581" w14:textId="77777777" w:rsidR="008B2F66" w:rsidRPr="00DC47C9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&lt;0.0001</w:t>
            </w:r>
          </w:p>
        </w:tc>
      </w:tr>
    </w:tbl>
    <w:p w14:paraId="32FA3E4D" w14:textId="77777777" w:rsidR="008B2F66" w:rsidRDefault="008B2F66" w:rsidP="008B2F66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FC386C">
        <w:rPr>
          <w:rFonts w:ascii="Times New Roman" w:hAnsi="Times New Roman"/>
          <w:sz w:val="24"/>
          <w:szCs w:val="24"/>
          <w:lang w:val="en-US"/>
        </w:rPr>
        <w:t>*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B5564B">
        <w:rPr>
          <w:rFonts w:ascii="Times New Roman" w:hAnsi="Times New Roman"/>
          <w:sz w:val="24"/>
          <w:szCs w:val="24"/>
          <w:lang w:val="en-US"/>
        </w:rPr>
        <w:t>djusted for: Age, atrial fibril</w:t>
      </w:r>
      <w:r>
        <w:rPr>
          <w:rFonts w:ascii="Times New Roman" w:hAnsi="Times New Roman"/>
          <w:sz w:val="24"/>
          <w:szCs w:val="24"/>
          <w:lang w:val="en-US"/>
        </w:rPr>
        <w:t>l</w:t>
      </w:r>
      <w:r w:rsidRPr="00B5564B">
        <w:rPr>
          <w:rFonts w:ascii="Times New Roman" w:hAnsi="Times New Roman"/>
          <w:sz w:val="24"/>
          <w:szCs w:val="24"/>
          <w:lang w:val="en-US"/>
        </w:rPr>
        <w:t xml:space="preserve">ation, </w:t>
      </w:r>
      <w:r>
        <w:rPr>
          <w:rFonts w:ascii="Times New Roman" w:hAnsi="Times New Roman"/>
          <w:sz w:val="24"/>
          <w:szCs w:val="24"/>
          <w:lang w:val="en-US"/>
        </w:rPr>
        <w:t xml:space="preserve">diabetes, alcohol consumption, </w:t>
      </w:r>
      <w:r w:rsidRPr="00B5564B">
        <w:rPr>
          <w:rFonts w:ascii="Times New Roman" w:hAnsi="Times New Roman"/>
          <w:sz w:val="24"/>
          <w:szCs w:val="24"/>
          <w:lang w:val="en-US"/>
        </w:rPr>
        <w:t xml:space="preserve">sedentary lifestyle, </w:t>
      </w:r>
      <w:r>
        <w:rPr>
          <w:rFonts w:ascii="Times New Roman" w:hAnsi="Times New Roman"/>
          <w:sz w:val="24"/>
          <w:szCs w:val="24"/>
          <w:lang w:val="en-US"/>
        </w:rPr>
        <w:t xml:space="preserve">previous antidepressant use, </w:t>
      </w:r>
      <w:r w:rsidRPr="00B5564B">
        <w:rPr>
          <w:rFonts w:ascii="Times New Roman" w:hAnsi="Times New Roman"/>
          <w:sz w:val="24"/>
          <w:szCs w:val="24"/>
          <w:lang w:val="en-US"/>
        </w:rPr>
        <w:t xml:space="preserve">previous dependency, time from symptom </w:t>
      </w:r>
      <w:r>
        <w:rPr>
          <w:rFonts w:ascii="Times New Roman" w:hAnsi="Times New Roman"/>
          <w:sz w:val="24"/>
          <w:szCs w:val="24"/>
          <w:lang w:val="en-US"/>
        </w:rPr>
        <w:t xml:space="preserve">onset to hospital </w:t>
      </w:r>
      <w:r>
        <w:rPr>
          <w:rFonts w:ascii="Times New Roman" w:hAnsi="Times New Roman"/>
          <w:sz w:val="24"/>
          <w:szCs w:val="24"/>
          <w:lang w:val="en-US"/>
        </w:rPr>
        <w:lastRenderedPageBreak/>
        <w:t xml:space="preserve">admission, vessel occlusion, body mass index, admission glucose, total </w:t>
      </w:r>
      <w:r w:rsidRPr="00B5564B">
        <w:rPr>
          <w:rFonts w:ascii="Times New Roman" w:hAnsi="Times New Roman"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  <w:lang w:val="en-US"/>
        </w:rPr>
        <w:t>h</w:t>
      </w:r>
      <w:r w:rsidRPr="00B5564B">
        <w:rPr>
          <w:rFonts w:ascii="Times New Roman" w:hAnsi="Times New Roman"/>
          <w:sz w:val="24"/>
          <w:szCs w:val="24"/>
          <w:lang w:val="en-US"/>
        </w:rPr>
        <w:t>olesterol</w:t>
      </w:r>
      <w:r>
        <w:rPr>
          <w:rFonts w:ascii="Times New Roman" w:hAnsi="Times New Roman"/>
          <w:sz w:val="24"/>
          <w:szCs w:val="24"/>
          <w:lang w:val="en-US"/>
        </w:rPr>
        <w:t>, LDL cholesterol, cardioembolic, cryptogenic and non-classifiable stroke etiologies.</w:t>
      </w:r>
    </w:p>
    <w:p w14:paraId="4534EBFC" w14:textId="77777777" w:rsidR="008B2F66" w:rsidRDefault="008B2F66" w:rsidP="008B2F66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FC386C">
        <w:rPr>
          <w:rFonts w:ascii="Times New Roman" w:hAnsi="Times New Roman"/>
          <w:sz w:val="24"/>
          <w:szCs w:val="24"/>
          <w:lang w:val="en-US"/>
        </w:rPr>
        <w:t>†</w:t>
      </w:r>
      <w:r>
        <w:rPr>
          <w:rFonts w:ascii="Times New Roman" w:hAnsi="Times New Roman"/>
          <w:sz w:val="24"/>
          <w:szCs w:val="24"/>
          <w:lang w:val="en-US"/>
        </w:rPr>
        <w:t xml:space="preserve">NIHSS quartiles are: </w:t>
      </w:r>
      <w:r w:rsidRPr="003D5839">
        <w:rPr>
          <w:rFonts w:ascii="Times New Roman" w:hAnsi="Times New Roman"/>
          <w:sz w:val="24"/>
          <w:szCs w:val="24"/>
          <w:lang w:val="en-US"/>
        </w:rPr>
        <w:t>0</w:t>
      </w:r>
      <w:r>
        <w:rPr>
          <w:rFonts w:ascii="Times New Roman" w:hAnsi="Times New Roman"/>
          <w:sz w:val="24"/>
          <w:szCs w:val="24"/>
          <w:lang w:val="en-US"/>
        </w:rPr>
        <w:t>-</w:t>
      </w:r>
      <w:r w:rsidRPr="003D5839">
        <w:rPr>
          <w:rFonts w:ascii="Times New Roman" w:hAnsi="Times New Roman"/>
          <w:sz w:val="24"/>
          <w:szCs w:val="24"/>
          <w:lang w:val="en-US"/>
        </w:rPr>
        <w:t>1=</w:t>
      </w:r>
      <w:r>
        <w:rPr>
          <w:rFonts w:ascii="Times New Roman" w:hAnsi="Times New Roman"/>
          <w:sz w:val="24"/>
          <w:szCs w:val="24"/>
          <w:lang w:val="en-US"/>
        </w:rPr>
        <w:t xml:space="preserve"> q</w:t>
      </w:r>
      <w:r w:rsidRPr="003D5839">
        <w:rPr>
          <w:rFonts w:ascii="Times New Roman" w:hAnsi="Times New Roman"/>
          <w:sz w:val="24"/>
          <w:szCs w:val="24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>;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 2</w:t>
      </w:r>
      <w:r>
        <w:rPr>
          <w:rFonts w:ascii="Times New Roman" w:hAnsi="Times New Roman"/>
          <w:sz w:val="24"/>
          <w:szCs w:val="24"/>
          <w:lang w:val="en-US"/>
        </w:rPr>
        <w:t>-</w:t>
      </w:r>
      <w:r w:rsidRPr="003D5839">
        <w:rPr>
          <w:rFonts w:ascii="Times New Roman" w:hAnsi="Times New Roman"/>
          <w:sz w:val="24"/>
          <w:szCs w:val="24"/>
          <w:lang w:val="en-US"/>
        </w:rPr>
        <w:t>3=</w:t>
      </w:r>
      <w:r>
        <w:rPr>
          <w:rFonts w:ascii="Times New Roman" w:hAnsi="Times New Roman"/>
          <w:sz w:val="24"/>
          <w:szCs w:val="24"/>
          <w:lang w:val="en-US"/>
        </w:rPr>
        <w:t>q</w:t>
      </w:r>
      <w:r w:rsidRPr="003D5839">
        <w:rPr>
          <w:rFonts w:ascii="Times New Roman" w:hAnsi="Times New Roman"/>
          <w:sz w:val="24"/>
          <w:szCs w:val="24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;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 4</w:t>
      </w:r>
      <w:r>
        <w:rPr>
          <w:rFonts w:ascii="Times New Roman" w:hAnsi="Times New Roman"/>
          <w:sz w:val="24"/>
          <w:szCs w:val="24"/>
          <w:lang w:val="en-US"/>
        </w:rPr>
        <w:t>-</w:t>
      </w:r>
      <w:r w:rsidRPr="003D5839">
        <w:rPr>
          <w:rFonts w:ascii="Times New Roman" w:hAnsi="Times New Roman"/>
          <w:sz w:val="24"/>
          <w:szCs w:val="24"/>
          <w:lang w:val="en-US"/>
        </w:rPr>
        <w:t>9=</w:t>
      </w:r>
      <w:r>
        <w:rPr>
          <w:rFonts w:ascii="Times New Roman" w:hAnsi="Times New Roman"/>
          <w:sz w:val="24"/>
          <w:szCs w:val="24"/>
          <w:lang w:val="en-US"/>
        </w:rPr>
        <w:t>q</w:t>
      </w:r>
      <w:r w:rsidRPr="003D5839">
        <w:rPr>
          <w:rFonts w:ascii="Times New Roman" w:hAnsi="Times New Roman"/>
          <w:sz w:val="24"/>
          <w:szCs w:val="24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>;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 10</w:t>
      </w:r>
      <w:r>
        <w:rPr>
          <w:rFonts w:ascii="Times New Roman" w:hAnsi="Times New Roman"/>
          <w:sz w:val="24"/>
          <w:szCs w:val="24"/>
          <w:lang w:val="en-US"/>
        </w:rPr>
        <w:t>-</w:t>
      </w:r>
      <w:r w:rsidRPr="003D5839">
        <w:rPr>
          <w:rFonts w:ascii="Times New Roman" w:hAnsi="Times New Roman"/>
          <w:sz w:val="24"/>
          <w:szCs w:val="24"/>
          <w:lang w:val="en-US"/>
        </w:rPr>
        <w:t>max</w:t>
      </w:r>
      <w:r>
        <w:rPr>
          <w:rFonts w:ascii="Times New Roman" w:hAnsi="Times New Roman"/>
          <w:sz w:val="24"/>
          <w:szCs w:val="24"/>
          <w:lang w:val="en-US"/>
        </w:rPr>
        <w:t>imum</w:t>
      </w:r>
      <w:r w:rsidRPr="003D5839">
        <w:rPr>
          <w:rFonts w:ascii="Times New Roman" w:hAnsi="Times New Roman"/>
          <w:sz w:val="24"/>
          <w:szCs w:val="24"/>
          <w:lang w:val="en-US"/>
        </w:rPr>
        <w:t>=</w:t>
      </w:r>
      <w:r>
        <w:rPr>
          <w:rFonts w:ascii="Times New Roman" w:hAnsi="Times New Roman"/>
          <w:sz w:val="24"/>
          <w:szCs w:val="24"/>
          <w:lang w:val="en-US"/>
        </w:rPr>
        <w:t>q</w:t>
      </w:r>
      <w:r w:rsidRPr="003D5839">
        <w:rPr>
          <w:rFonts w:ascii="Times New Roman" w:hAnsi="Times New Roman"/>
          <w:sz w:val="24"/>
          <w:szCs w:val="24"/>
          <w:lang w:val="en-US"/>
        </w:rPr>
        <w:t>4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p w14:paraId="1A4DFE7D" w14:textId="77777777" w:rsidR="008B2F66" w:rsidRDefault="008B2F66" w:rsidP="008B2F66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FC386C">
        <w:rPr>
          <w:rFonts w:ascii="Times New Roman" w:hAnsi="Times New Roman"/>
          <w:sz w:val="24"/>
          <w:szCs w:val="24"/>
          <w:lang w:val="en-US"/>
        </w:rPr>
        <w:t>‡</w:t>
      </w:r>
      <w:r>
        <w:rPr>
          <w:rFonts w:ascii="Times New Roman" w:hAnsi="Times New Roman"/>
          <w:sz w:val="24"/>
          <w:szCs w:val="24"/>
          <w:lang w:val="en-US"/>
        </w:rPr>
        <w:t xml:space="preserve"> High adherence to Mediterranean diet=</w:t>
      </w:r>
      <w:r w:rsidR="008E7341">
        <w:rPr>
          <w:rFonts w:ascii="Times New Roman" w:hAnsi="Times New Roman"/>
          <w:sz w:val="24"/>
          <w:szCs w:val="24"/>
          <w:lang w:val="en-US"/>
        </w:rPr>
        <w:t>MEDAS</w:t>
      </w:r>
      <w:r>
        <w:rPr>
          <w:rFonts w:ascii="Times New Roman" w:hAnsi="Times New Roman"/>
          <w:sz w:val="24"/>
          <w:szCs w:val="24"/>
          <w:lang w:val="en-US"/>
        </w:rPr>
        <w:t xml:space="preserve"> score 0-6. </w:t>
      </w:r>
      <w:r w:rsidRPr="00FC386C">
        <w:rPr>
          <w:rFonts w:ascii="Times New Roman" w:hAnsi="Times New Roman"/>
          <w:sz w:val="24"/>
          <w:szCs w:val="24"/>
          <w:lang w:val="en-US"/>
        </w:rPr>
        <w:t>§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3-5</w:t>
      </w:r>
    </w:p>
    <w:p w14:paraId="3D28B004" w14:textId="77777777" w:rsidR="00C166CC" w:rsidRPr="008B2F66" w:rsidRDefault="00C166CC">
      <w:pPr>
        <w:rPr>
          <w:lang w:val="en-US"/>
        </w:rPr>
      </w:pPr>
    </w:p>
    <w:p w14:paraId="5CF5628B" w14:textId="77777777" w:rsidR="00C166CC" w:rsidRPr="008B2F66" w:rsidRDefault="00C166CC">
      <w:pPr>
        <w:rPr>
          <w:lang w:val="en-US"/>
        </w:rPr>
      </w:pPr>
    </w:p>
    <w:p w14:paraId="4CD24736" w14:textId="77777777" w:rsidR="00C166CC" w:rsidRPr="008B2F66" w:rsidRDefault="00C166CC">
      <w:pPr>
        <w:rPr>
          <w:lang w:val="en-US"/>
        </w:rPr>
      </w:pPr>
    </w:p>
    <w:p w14:paraId="3A02BEDB" w14:textId="77777777" w:rsidR="00C166CC" w:rsidRPr="008B2F66" w:rsidRDefault="00C166CC">
      <w:pPr>
        <w:rPr>
          <w:lang w:val="en-US"/>
        </w:rPr>
      </w:pPr>
    </w:p>
    <w:p w14:paraId="1660A20A" w14:textId="77777777" w:rsidR="00C166CC" w:rsidRPr="008B2F66" w:rsidRDefault="00C166CC">
      <w:pPr>
        <w:rPr>
          <w:lang w:val="en-US"/>
        </w:rPr>
      </w:pPr>
    </w:p>
    <w:p w14:paraId="1435223E" w14:textId="77777777" w:rsidR="00C166CC" w:rsidRPr="008B2F66" w:rsidRDefault="00C166CC">
      <w:pPr>
        <w:rPr>
          <w:lang w:val="en-US"/>
        </w:rPr>
      </w:pPr>
    </w:p>
    <w:p w14:paraId="556F585F" w14:textId="77777777" w:rsidR="00C166CC" w:rsidRPr="008B2F66" w:rsidRDefault="00C166CC">
      <w:pPr>
        <w:rPr>
          <w:lang w:val="en-US"/>
        </w:rPr>
      </w:pPr>
    </w:p>
    <w:p w14:paraId="2B9E2907" w14:textId="77777777" w:rsidR="00C166CC" w:rsidRPr="008B2F66" w:rsidRDefault="00C166CC">
      <w:pPr>
        <w:rPr>
          <w:lang w:val="en-US"/>
        </w:rPr>
      </w:pPr>
    </w:p>
    <w:p w14:paraId="6D98B653" w14:textId="77777777" w:rsidR="00C166CC" w:rsidRPr="008B2F66" w:rsidRDefault="00C166CC">
      <w:pPr>
        <w:rPr>
          <w:lang w:val="en-US"/>
        </w:rPr>
      </w:pPr>
    </w:p>
    <w:p w14:paraId="1697849E" w14:textId="77777777" w:rsidR="00C166CC" w:rsidRPr="008B2F66" w:rsidRDefault="00C166CC">
      <w:pPr>
        <w:rPr>
          <w:lang w:val="en-US"/>
        </w:rPr>
      </w:pPr>
    </w:p>
    <w:p w14:paraId="4DC75B9E" w14:textId="77777777" w:rsidR="00C166CC" w:rsidRPr="008B2F66" w:rsidRDefault="00C166CC">
      <w:pPr>
        <w:rPr>
          <w:lang w:val="en-US"/>
        </w:rPr>
      </w:pPr>
    </w:p>
    <w:p w14:paraId="74129B68" w14:textId="77777777" w:rsidR="00C166CC" w:rsidRPr="008B2F66" w:rsidRDefault="00C166CC">
      <w:pPr>
        <w:rPr>
          <w:lang w:val="en-US"/>
        </w:rPr>
      </w:pPr>
    </w:p>
    <w:p w14:paraId="08E0CAEA" w14:textId="77777777" w:rsidR="00C166CC" w:rsidRPr="008B2F66" w:rsidRDefault="00C166CC">
      <w:pPr>
        <w:rPr>
          <w:lang w:val="en-US"/>
        </w:rPr>
      </w:pPr>
    </w:p>
    <w:sectPr w:rsidR="00C166CC" w:rsidRPr="008B2F66" w:rsidSect="00E109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18F"/>
    <w:rsid w:val="001441DC"/>
    <w:rsid w:val="005E4F80"/>
    <w:rsid w:val="007A04E2"/>
    <w:rsid w:val="007A1B9F"/>
    <w:rsid w:val="008B2F66"/>
    <w:rsid w:val="008E7341"/>
    <w:rsid w:val="00AD418F"/>
    <w:rsid w:val="00C166CC"/>
    <w:rsid w:val="00CC4774"/>
    <w:rsid w:val="00E10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550A7"/>
  <w15:chartTrackingRefBased/>
  <w15:docId w15:val="{E0BC9EC8-8E4B-874A-8F74-807EF7055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18F"/>
    <w:rPr>
      <w:rFonts w:ascii="Arial" w:hAnsi="Arial" w:cs="Times New Roman"/>
      <w:sz w:val="22"/>
      <w:szCs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D418F"/>
    <w:rPr>
      <w:rFonts w:ascii="Arial" w:hAnsi="Arial" w:cs="Times New Roman"/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</Words>
  <Characters>859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Olavarria Ianiszewsky</dc:creator>
  <cp:keywords/>
  <dc:description/>
  <cp:lastModifiedBy>Pablo Lavados Germain</cp:lastModifiedBy>
  <cp:revision>2</cp:revision>
  <dcterms:created xsi:type="dcterms:W3CDTF">2019-12-15T19:28:00Z</dcterms:created>
  <dcterms:modified xsi:type="dcterms:W3CDTF">2019-12-15T19:28:00Z</dcterms:modified>
</cp:coreProperties>
</file>